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4A" w:rsidRPr="000B754A" w:rsidRDefault="000B754A" w:rsidP="000B754A">
      <w:pPr>
        <w:widowControl/>
        <w:spacing w:before="150" w:after="150" w:line="297" w:lineRule="atLeast"/>
        <w:jc w:val="left"/>
        <w:outlineLvl w:val="0"/>
        <w:rPr>
          <w:rFonts w:ascii="&amp;quot" w:eastAsia="宋体" w:hAnsi="&amp;quot" w:cs="宋体"/>
          <w:b/>
          <w:bCs/>
          <w:color w:val="444444"/>
          <w:kern w:val="36"/>
          <w:sz w:val="27"/>
          <w:szCs w:val="27"/>
        </w:rPr>
      </w:pPr>
      <w:r w:rsidRPr="000B754A">
        <w:rPr>
          <w:rFonts w:ascii="&amp;quot" w:eastAsia="宋体" w:hAnsi="&amp;quot" w:cs="宋体"/>
          <w:b/>
          <w:bCs/>
          <w:color w:val="444444"/>
          <w:kern w:val="36"/>
          <w:sz w:val="27"/>
          <w:szCs w:val="27"/>
        </w:rPr>
        <w:t xml:space="preserve">1CH Passive HD CVI TVI AHD CVBS Video </w:t>
      </w:r>
      <w:proofErr w:type="spellStart"/>
      <w:r w:rsidRPr="000B754A">
        <w:rPr>
          <w:rFonts w:ascii="&amp;quot" w:eastAsia="宋体" w:hAnsi="&amp;quot" w:cs="宋体"/>
          <w:b/>
          <w:bCs/>
          <w:color w:val="444444"/>
          <w:kern w:val="36"/>
          <w:sz w:val="27"/>
          <w:szCs w:val="27"/>
        </w:rPr>
        <w:t>Balun</w:t>
      </w:r>
      <w:proofErr w:type="spellEnd"/>
      <w:r w:rsidRPr="000B754A">
        <w:rPr>
          <w:rFonts w:ascii="&amp;quot" w:eastAsia="宋体" w:hAnsi="&amp;quot" w:cs="宋体"/>
          <w:b/>
          <w:bCs/>
          <w:color w:val="444444"/>
          <w:kern w:val="36"/>
          <w:sz w:val="27"/>
          <w:szCs w:val="27"/>
        </w:rPr>
        <w:t xml:space="preserve"> Transceiver</w:t>
      </w:r>
    </w:p>
    <w:p w:rsidR="000B754A" w:rsidRDefault="000B754A" w:rsidP="000B754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79" w:lineRule="atLeast"/>
        <w:jc w:val="left"/>
        <w:rPr>
          <w:rFonts w:ascii="&amp;quot" w:eastAsia="宋体" w:hAnsi="&amp;quot" w:cs="宋体"/>
          <w:color w:val="333333"/>
          <w:kern w:val="0"/>
          <w:sz w:val="20"/>
          <w:szCs w:val="20"/>
        </w:rPr>
      </w:pPr>
      <w:r>
        <w:rPr>
          <w:rFonts w:ascii="&amp;quot" w:eastAsia="宋体" w:hAnsi="&amp;quot" w:cs="宋体"/>
          <w:color w:val="333333"/>
          <w:kern w:val="0"/>
          <w:sz w:val="20"/>
          <w:szCs w:val="20"/>
        </w:rPr>
        <w:t>STK</w:t>
      </w:r>
      <w:r w:rsidRPr="000B754A">
        <w:rPr>
          <w:rFonts w:ascii="&amp;quot" w:eastAsia="宋体" w:hAnsi="&amp;quot" w:cs="宋体"/>
          <w:color w:val="333333"/>
          <w:kern w:val="0"/>
          <w:sz w:val="20"/>
          <w:szCs w:val="20"/>
        </w:rPr>
        <w:t xml:space="preserve">201P-HD-G2 video </w:t>
      </w:r>
      <w:proofErr w:type="spellStart"/>
      <w:r w:rsidRPr="000B754A">
        <w:rPr>
          <w:rFonts w:ascii="&amp;quot" w:eastAsia="宋体" w:hAnsi="&amp;quot" w:cs="宋体"/>
          <w:color w:val="333333"/>
          <w:kern w:val="0"/>
          <w:sz w:val="20"/>
          <w:szCs w:val="20"/>
        </w:rPr>
        <w:t>balun</w:t>
      </w:r>
      <w:proofErr w:type="spellEnd"/>
      <w:r w:rsidRPr="000B754A">
        <w:rPr>
          <w:rFonts w:ascii="&amp;quot" w:eastAsia="宋体" w:hAnsi="&amp;quot" w:cs="宋体"/>
          <w:color w:val="333333"/>
          <w:kern w:val="0"/>
          <w:sz w:val="20"/>
          <w:szCs w:val="20"/>
        </w:rPr>
        <w:t xml:space="preserve"> is a passive (non-amplified) device that allows the transmission of real-time CCTV HD video signal via cost-effective Unshielded Twisted Paired (UTP) cable. Support 4K Resolution to 200M Max!</w:t>
      </w:r>
    </w:p>
    <w:p w:rsidR="000B754A" w:rsidRPr="000B754A" w:rsidRDefault="000B754A" w:rsidP="000B754A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0B754A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Description of this 1CH Passive HD CVI TVI AHD CVBS Video </w:t>
      </w:r>
      <w:proofErr w:type="spellStart"/>
      <w:r w:rsidRPr="000B754A">
        <w:rPr>
          <w:rFonts w:ascii="&amp;quot" w:eastAsia="宋体" w:hAnsi="&amp;quot" w:cs="宋体"/>
          <w:color w:val="777777"/>
          <w:kern w:val="0"/>
          <w:sz w:val="20"/>
          <w:szCs w:val="20"/>
        </w:rPr>
        <w:t>Balun</w:t>
      </w:r>
      <w:proofErr w:type="spellEnd"/>
      <w:r w:rsidRPr="000B754A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 Transceiver</w:t>
      </w:r>
    </w:p>
    <w:p w:rsidR="000B754A" w:rsidRPr="000B754A" w:rsidRDefault="000B754A" w:rsidP="000B754A">
      <w:pPr>
        <w:widowControl/>
        <w:spacing w:after="150"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>
        <w:rPr>
          <w:rFonts w:ascii="&amp;quot" w:eastAsia="宋体" w:hAnsi="&amp;quot" w:cs="宋体"/>
          <w:color w:val="333333"/>
          <w:kern w:val="0"/>
          <w:sz w:val="20"/>
          <w:szCs w:val="20"/>
        </w:rPr>
        <w:t>STK</w:t>
      </w:r>
      <w:r w:rsidRPr="000B754A">
        <w:rPr>
          <w:rFonts w:ascii="&amp;quot" w:eastAsia="宋体" w:hAnsi="&amp;quot" w:cs="宋体"/>
          <w:color w:val="333333"/>
          <w:kern w:val="0"/>
          <w:sz w:val="20"/>
          <w:szCs w:val="20"/>
        </w:rPr>
        <w:t>201P-HD-G2</w:t>
      </w:r>
      <w:r w:rsidRPr="000B754A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 </w:t>
      </w:r>
      <w:proofErr w:type="spellStart"/>
      <w:proofErr w:type="gramStart"/>
      <w:r w:rsidRPr="000B754A">
        <w:rPr>
          <w:rFonts w:ascii="&amp;quot" w:eastAsia="宋体" w:hAnsi="&amp;quot" w:cs="宋体"/>
          <w:color w:val="777777"/>
          <w:kern w:val="0"/>
          <w:sz w:val="20"/>
          <w:szCs w:val="20"/>
        </w:rPr>
        <w:t>cctv</w:t>
      </w:r>
      <w:proofErr w:type="spellEnd"/>
      <w:proofErr w:type="gramEnd"/>
      <w:r w:rsidRPr="000B754A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 passive video </w:t>
      </w:r>
      <w:proofErr w:type="spellStart"/>
      <w:r w:rsidRPr="000B754A">
        <w:rPr>
          <w:rFonts w:ascii="&amp;quot" w:eastAsia="宋体" w:hAnsi="&amp;quot" w:cs="宋体"/>
          <w:color w:val="777777"/>
          <w:kern w:val="0"/>
          <w:sz w:val="20"/>
          <w:szCs w:val="20"/>
        </w:rPr>
        <w:t>balun</w:t>
      </w:r>
      <w:proofErr w:type="spellEnd"/>
      <w:r w:rsidRPr="000B754A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 is a passive (non-amplified) device that allows the transmission of real-time CCTV HD video signal via cost-effective Unshielded Twisted Paired (UTP) cable. The 201P-HD-G2 CCTV Passive Video Transceiver is compatible with all HD-TVI, HD-CVI, </w:t>
      </w:r>
      <w:proofErr w:type="gramStart"/>
      <w:r w:rsidRPr="000B754A">
        <w:rPr>
          <w:rFonts w:ascii="&amp;quot" w:eastAsia="宋体" w:hAnsi="&amp;quot" w:cs="宋体"/>
          <w:color w:val="777777"/>
          <w:kern w:val="0"/>
          <w:sz w:val="20"/>
          <w:szCs w:val="20"/>
        </w:rPr>
        <w:t>AHD</w:t>
      </w:r>
      <w:proofErr w:type="gramEnd"/>
      <w:r w:rsidRPr="000B754A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 and CVBS analog cameras.</w:t>
      </w:r>
    </w:p>
    <w:p w:rsidR="000B754A" w:rsidRPr="000B754A" w:rsidRDefault="000B754A" w:rsidP="000B754A">
      <w:pPr>
        <w:widowControl/>
        <w:spacing w:after="150"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0B754A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Upside push-pin terminal block allows easy connection of UTP cable output. Used in pairs, </w:t>
      </w:r>
      <w:r>
        <w:rPr>
          <w:rFonts w:ascii="&amp;quot" w:eastAsia="宋体" w:hAnsi="&amp;quot" w:cs="宋体"/>
          <w:color w:val="333333"/>
          <w:kern w:val="0"/>
          <w:sz w:val="20"/>
          <w:szCs w:val="20"/>
        </w:rPr>
        <w:t>STK</w:t>
      </w:r>
      <w:r w:rsidRPr="000B754A">
        <w:rPr>
          <w:rFonts w:ascii="&amp;quot" w:eastAsia="宋体" w:hAnsi="&amp;quot" w:cs="宋体"/>
          <w:color w:val="333333"/>
          <w:kern w:val="0"/>
          <w:sz w:val="20"/>
          <w:szCs w:val="20"/>
        </w:rPr>
        <w:t>201P-HD-G2</w:t>
      </w:r>
      <w:r w:rsidRPr="000B754A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 1CH Passive HD Video </w:t>
      </w:r>
      <w:proofErr w:type="spellStart"/>
      <w:r w:rsidRPr="000B754A">
        <w:rPr>
          <w:rFonts w:ascii="&amp;quot" w:eastAsia="宋体" w:hAnsi="&amp;quot" w:cs="宋体"/>
          <w:color w:val="777777"/>
          <w:kern w:val="0"/>
          <w:sz w:val="20"/>
          <w:szCs w:val="20"/>
        </w:rPr>
        <w:t>Balun</w:t>
      </w:r>
      <w:proofErr w:type="spellEnd"/>
      <w:r w:rsidRPr="000B754A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 eliminates costly and bulky coaxial cable.</w:t>
      </w:r>
    </w:p>
    <w:p w:rsidR="000B754A" w:rsidRPr="000B754A" w:rsidRDefault="000B754A" w:rsidP="000B754A">
      <w:pPr>
        <w:widowControl/>
        <w:spacing w:after="150"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0B754A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The superior interference rejection and low emissions of the </w:t>
      </w:r>
      <w:r>
        <w:rPr>
          <w:rFonts w:ascii="&amp;quot" w:eastAsia="宋体" w:hAnsi="&amp;quot" w:cs="宋体"/>
          <w:color w:val="333333"/>
          <w:kern w:val="0"/>
          <w:sz w:val="20"/>
          <w:szCs w:val="20"/>
        </w:rPr>
        <w:t>STK</w:t>
      </w:r>
      <w:r w:rsidRPr="000B754A">
        <w:rPr>
          <w:rFonts w:ascii="&amp;quot" w:eastAsia="宋体" w:hAnsi="&amp;quot" w:cs="宋体"/>
          <w:color w:val="333333"/>
          <w:kern w:val="0"/>
          <w:sz w:val="20"/>
          <w:szCs w:val="20"/>
        </w:rPr>
        <w:t>201P-HD-G2</w:t>
      </w:r>
      <w:r w:rsidRPr="000B754A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 allow video signals to coexist in the same wire bundle as telephone, </w:t>
      </w:r>
      <w:proofErr w:type="spellStart"/>
      <w:r w:rsidRPr="000B754A">
        <w:rPr>
          <w:rFonts w:ascii="&amp;quot" w:eastAsia="宋体" w:hAnsi="&amp;quot" w:cs="宋体"/>
          <w:color w:val="777777"/>
          <w:kern w:val="0"/>
          <w:sz w:val="20"/>
          <w:szCs w:val="20"/>
        </w:rPr>
        <w:t>datacom</w:t>
      </w:r>
      <w:proofErr w:type="spellEnd"/>
      <w:r w:rsidRPr="000B754A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, or damaging voltage spikes. 1CH HD Video </w:t>
      </w:r>
      <w:proofErr w:type="spellStart"/>
      <w:r w:rsidRPr="000B754A">
        <w:rPr>
          <w:rFonts w:ascii="&amp;quot" w:eastAsia="宋体" w:hAnsi="&amp;quot" w:cs="宋体"/>
          <w:color w:val="777777"/>
          <w:kern w:val="0"/>
          <w:sz w:val="20"/>
          <w:szCs w:val="20"/>
        </w:rPr>
        <w:t>Balun</w:t>
      </w:r>
      <w:proofErr w:type="spellEnd"/>
      <w:r w:rsidRPr="000B754A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 Transceiver crosstalk and noise immunity ensure quality video signals. Widely used in security, teaching industry and other complex system environment.</w:t>
      </w:r>
    </w:p>
    <w:p w:rsidR="000B754A" w:rsidRPr="000B754A" w:rsidRDefault="000B754A" w:rsidP="000B754A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0B754A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Specification of this 1CH Passive HD CVI TVI AHD CVBS Video </w:t>
      </w:r>
      <w:proofErr w:type="spellStart"/>
      <w:r w:rsidRPr="000B754A">
        <w:rPr>
          <w:rFonts w:ascii="&amp;quot" w:eastAsia="宋体" w:hAnsi="&amp;quot" w:cs="宋体"/>
          <w:color w:val="777777"/>
          <w:kern w:val="0"/>
          <w:sz w:val="20"/>
          <w:szCs w:val="20"/>
        </w:rPr>
        <w:t>Balun</w:t>
      </w:r>
      <w:proofErr w:type="spellEnd"/>
      <w:r w:rsidRPr="000B754A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 Transceiver</w:t>
      </w:r>
    </w:p>
    <w:p w:rsidR="000B754A" w:rsidRPr="000B754A" w:rsidRDefault="000B754A" w:rsidP="000B754A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0B754A">
        <w:rPr>
          <w:rFonts w:ascii="&amp;quot" w:eastAsia="宋体" w:hAnsi="&amp;quot" w:cs="宋体"/>
          <w:color w:val="777777"/>
          <w:kern w:val="0"/>
          <w:sz w:val="20"/>
          <w:szCs w:val="20"/>
        </w:rPr>
        <w:t> </w:t>
      </w:r>
    </w:p>
    <w:tbl>
      <w:tblPr>
        <w:tblW w:w="959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8"/>
        <w:gridCol w:w="6396"/>
      </w:tblGrid>
      <w:tr w:rsidR="000B754A" w:rsidRPr="000B754A" w:rsidTr="000B754A">
        <w:trPr>
          <w:trHeight w:val="143"/>
        </w:trPr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Model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>
              <w:rPr>
                <w:rFonts w:ascii="&amp;quot" w:eastAsia="宋体" w:hAnsi="&amp;quot" w:cs="宋体"/>
                <w:color w:val="333333"/>
                <w:kern w:val="0"/>
                <w:sz w:val="20"/>
                <w:szCs w:val="20"/>
              </w:rPr>
              <w:t>STK</w:t>
            </w:r>
            <w:r w:rsidRPr="000B754A">
              <w:rPr>
                <w:rFonts w:ascii="&amp;quot" w:eastAsia="宋体" w:hAnsi="&amp;quot" w:cs="宋体"/>
                <w:color w:val="333333"/>
                <w:kern w:val="0"/>
                <w:sz w:val="20"/>
                <w:szCs w:val="20"/>
              </w:rPr>
              <w:t>201P-HD-G2</w:t>
            </w:r>
            <w:bookmarkStart w:id="0" w:name="_GoBack"/>
            <w:bookmarkEnd w:id="0"/>
          </w:p>
        </w:tc>
      </w:tr>
      <w:tr w:rsidR="000B754A" w:rsidRPr="000B754A" w:rsidTr="000B754A">
        <w:trPr>
          <w:trHeight w:val="146"/>
        </w:trPr>
        <w:tc>
          <w:tcPr>
            <w:tcW w:w="9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Properties</w:t>
            </w:r>
          </w:p>
        </w:tc>
      </w:tr>
      <w:tr w:rsidR="000B754A" w:rsidRPr="000B754A" w:rsidTr="000B754A">
        <w:trPr>
          <w:trHeight w:val="143"/>
        </w:trPr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Transmission Signal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1 channel</w:t>
            </w:r>
          </w:p>
        </w:tc>
      </w:tr>
      <w:tr w:rsidR="000B754A" w:rsidRPr="000B754A" w:rsidTr="000B754A">
        <w:trPr>
          <w:trHeight w:val="146"/>
        </w:trPr>
        <w:tc>
          <w:tcPr>
            <w:tcW w:w="31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Transmission Distance (Max)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HDCVI 720P:400M / 1080P:250M /4MP:200M / 4K 8MP:200M</w:t>
            </w:r>
          </w:p>
        </w:tc>
      </w:tr>
      <w:tr w:rsidR="000B754A" w:rsidRPr="000B754A" w:rsidTr="000B754A">
        <w:trPr>
          <w:trHeight w:val="1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HDTVI 720P/1080P:250M / 5MP:200M / 4K 8MP:150M</w:t>
            </w:r>
          </w:p>
        </w:tc>
      </w:tr>
      <w:tr w:rsidR="000B754A" w:rsidRPr="000B754A" w:rsidTr="000B754A">
        <w:trPr>
          <w:trHeight w:val="1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AHD 720P:350M / 1080P:200M / 5MP:200M / 4K8MP:150M</w:t>
            </w:r>
          </w:p>
        </w:tc>
      </w:tr>
      <w:tr w:rsidR="000B754A" w:rsidRPr="000B754A" w:rsidTr="000B754A">
        <w:trPr>
          <w:trHeight w:val="143"/>
        </w:trPr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Category Type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544661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UTP CAT 5E/6 (R＜10Ω/100M)</w:t>
            </w:r>
          </w:p>
        </w:tc>
      </w:tr>
      <w:tr w:rsidR="000B754A" w:rsidRPr="000B754A" w:rsidTr="000B754A">
        <w:trPr>
          <w:trHeight w:val="146"/>
        </w:trPr>
        <w:tc>
          <w:tcPr>
            <w:tcW w:w="9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Video Transmission Properties And Port</w:t>
            </w:r>
          </w:p>
        </w:tc>
      </w:tr>
      <w:tr w:rsidR="000B754A" w:rsidRPr="000B754A" w:rsidTr="000B754A">
        <w:trPr>
          <w:trHeight w:val="143"/>
        </w:trPr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Coaxial Video Connector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BNC-M</w:t>
            </w:r>
          </w:p>
        </w:tc>
      </w:tr>
      <w:tr w:rsidR="000B754A" w:rsidRPr="000B754A" w:rsidTr="000B754A">
        <w:trPr>
          <w:trHeight w:val="143"/>
        </w:trPr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Twisted-pair Video Connector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Push-terminal</w:t>
            </w:r>
          </w:p>
        </w:tc>
      </w:tr>
      <w:tr w:rsidR="000B754A" w:rsidRPr="000B754A" w:rsidTr="000B754A">
        <w:trPr>
          <w:trHeight w:val="143"/>
        </w:trPr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Compatible Format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HDCVI, HDTVI, AHD, CVBS</w:t>
            </w:r>
          </w:p>
        </w:tc>
      </w:tr>
      <w:tr w:rsidR="000B754A" w:rsidRPr="000B754A" w:rsidTr="000B754A">
        <w:trPr>
          <w:trHeight w:val="143"/>
        </w:trPr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Resolution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720P/1080P/4MP/5MP/8MP 4K</w:t>
            </w:r>
          </w:p>
        </w:tc>
      </w:tr>
      <w:tr w:rsidR="000B754A" w:rsidRPr="000B754A" w:rsidTr="000B754A">
        <w:trPr>
          <w:trHeight w:val="143"/>
        </w:trPr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Anti-interference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544661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＞</w:t>
            </w: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60db</w:t>
            </w:r>
          </w:p>
        </w:tc>
      </w:tr>
      <w:tr w:rsidR="000B754A" w:rsidRPr="000B754A" w:rsidTr="000B754A">
        <w:trPr>
          <w:trHeight w:val="146"/>
        </w:trPr>
        <w:tc>
          <w:tcPr>
            <w:tcW w:w="9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Protection</w:t>
            </w:r>
          </w:p>
        </w:tc>
      </w:tr>
      <w:tr w:rsidR="000B754A" w:rsidRPr="000B754A" w:rsidTr="000B754A">
        <w:trPr>
          <w:trHeight w:val="146"/>
        </w:trPr>
        <w:tc>
          <w:tcPr>
            <w:tcW w:w="31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ESD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1a contact discharge electricity level 3</w:t>
            </w:r>
          </w:p>
        </w:tc>
      </w:tr>
      <w:tr w:rsidR="000B754A" w:rsidRPr="000B754A" w:rsidTr="000B754A">
        <w:trPr>
          <w:trHeight w:val="1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1b air discharge electricity level 3</w:t>
            </w:r>
          </w:p>
        </w:tc>
      </w:tr>
      <w:tr w:rsidR="000B754A" w:rsidRPr="000B754A" w:rsidTr="000B754A">
        <w:trPr>
          <w:trHeight w:val="1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Per:IEC61000-4-2</w:t>
            </w:r>
          </w:p>
        </w:tc>
      </w:tr>
      <w:tr w:rsidR="000B754A" w:rsidRPr="000B754A" w:rsidTr="000B754A">
        <w:trPr>
          <w:trHeight w:val="143"/>
        </w:trPr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Coaxial Cable Connector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2KV(common-code) Per:IEC61000-4-5</w:t>
            </w:r>
          </w:p>
        </w:tc>
      </w:tr>
      <w:tr w:rsidR="000B754A" w:rsidRPr="000B754A" w:rsidTr="000B754A">
        <w:trPr>
          <w:trHeight w:val="143"/>
        </w:trPr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UTP Cable Connector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2KV(different-code),4KV(common-code),Per:IEC61000-4-5</w:t>
            </w:r>
          </w:p>
        </w:tc>
      </w:tr>
      <w:tr w:rsidR="000B754A" w:rsidRPr="000B754A" w:rsidTr="000B754A">
        <w:trPr>
          <w:trHeight w:val="146"/>
        </w:trPr>
        <w:tc>
          <w:tcPr>
            <w:tcW w:w="9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Impedance</w:t>
            </w:r>
          </w:p>
        </w:tc>
      </w:tr>
      <w:tr w:rsidR="000B754A" w:rsidRPr="000B754A" w:rsidTr="000B754A">
        <w:trPr>
          <w:trHeight w:val="143"/>
        </w:trPr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BNC Male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75 ohms</w:t>
            </w:r>
          </w:p>
        </w:tc>
      </w:tr>
      <w:tr w:rsidR="000B754A" w:rsidRPr="000B754A" w:rsidTr="000B754A">
        <w:trPr>
          <w:trHeight w:val="143"/>
        </w:trPr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UTP Cable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100 ohms</w:t>
            </w:r>
          </w:p>
        </w:tc>
      </w:tr>
      <w:tr w:rsidR="000B754A" w:rsidRPr="000B754A" w:rsidTr="000B754A">
        <w:trPr>
          <w:trHeight w:val="146"/>
        </w:trPr>
        <w:tc>
          <w:tcPr>
            <w:tcW w:w="9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lastRenderedPageBreak/>
              <w:t>Physical Properties</w:t>
            </w:r>
          </w:p>
        </w:tc>
      </w:tr>
      <w:tr w:rsidR="000B754A" w:rsidRPr="000B754A" w:rsidTr="000B754A">
        <w:trPr>
          <w:trHeight w:val="143"/>
        </w:trPr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Shell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ABS</w:t>
            </w:r>
          </w:p>
        </w:tc>
      </w:tr>
      <w:tr w:rsidR="000B754A" w:rsidRPr="000B754A" w:rsidTr="000B754A">
        <w:trPr>
          <w:trHeight w:val="143"/>
        </w:trPr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Color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Black</w:t>
            </w:r>
          </w:p>
        </w:tc>
      </w:tr>
      <w:tr w:rsidR="000B754A" w:rsidRPr="000B754A" w:rsidTr="000B754A">
        <w:trPr>
          <w:trHeight w:val="143"/>
        </w:trPr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N.W.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25G</w:t>
            </w:r>
          </w:p>
        </w:tc>
      </w:tr>
      <w:tr w:rsidR="000B754A" w:rsidRPr="000B754A" w:rsidTr="000B754A">
        <w:trPr>
          <w:trHeight w:val="146"/>
        </w:trPr>
        <w:tc>
          <w:tcPr>
            <w:tcW w:w="9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Stability</w:t>
            </w:r>
          </w:p>
        </w:tc>
      </w:tr>
      <w:tr w:rsidR="000B754A" w:rsidRPr="000B754A" w:rsidTr="000B754A">
        <w:trPr>
          <w:trHeight w:val="143"/>
        </w:trPr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MTBF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544661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＞</w:t>
            </w: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10000H</w:t>
            </w:r>
          </w:p>
        </w:tc>
      </w:tr>
      <w:tr w:rsidR="000B754A" w:rsidRPr="000B754A" w:rsidTr="000B754A">
        <w:trPr>
          <w:trHeight w:val="146"/>
        </w:trPr>
        <w:tc>
          <w:tcPr>
            <w:tcW w:w="9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Environmental</w:t>
            </w:r>
          </w:p>
        </w:tc>
      </w:tr>
      <w:tr w:rsidR="000B754A" w:rsidRPr="000B754A" w:rsidTr="000B754A">
        <w:trPr>
          <w:trHeight w:val="143"/>
        </w:trPr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Operating Temperature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-10~55</w:t>
            </w:r>
            <w:r w:rsidRPr="00544661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℃</w:t>
            </w:r>
          </w:p>
        </w:tc>
      </w:tr>
      <w:tr w:rsidR="000B754A" w:rsidRPr="000B754A" w:rsidTr="000B754A">
        <w:trPr>
          <w:trHeight w:val="143"/>
        </w:trPr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Storage Temperature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-20~70</w:t>
            </w:r>
            <w:r w:rsidRPr="00544661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℃</w:t>
            </w:r>
          </w:p>
        </w:tc>
      </w:tr>
      <w:tr w:rsidR="000B754A" w:rsidRPr="000B754A" w:rsidTr="000B754A">
        <w:trPr>
          <w:trHeight w:val="143"/>
        </w:trPr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Humidity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754A" w:rsidRPr="000B754A" w:rsidRDefault="000B754A" w:rsidP="000B754A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0B754A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0~95%(non-condensing)</w:t>
            </w:r>
          </w:p>
        </w:tc>
      </w:tr>
    </w:tbl>
    <w:p w:rsidR="000B754A" w:rsidRPr="000B754A" w:rsidRDefault="000B754A" w:rsidP="000B754A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0B754A">
        <w:rPr>
          <w:rFonts w:ascii="&amp;quot" w:eastAsia="宋体" w:hAnsi="&amp;quot" w:cs="宋体"/>
          <w:color w:val="777777"/>
          <w:kern w:val="0"/>
          <w:sz w:val="20"/>
          <w:szCs w:val="20"/>
        </w:rPr>
        <w:t> </w:t>
      </w:r>
    </w:p>
    <w:p w:rsidR="000B754A" w:rsidRPr="000B754A" w:rsidRDefault="000B754A" w:rsidP="000B754A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0B754A">
        <w:rPr>
          <w:rFonts w:ascii="&amp;quot" w:eastAsia="宋体" w:hAnsi="&amp;quot" w:cs="宋体"/>
          <w:color w:val="777777"/>
          <w:kern w:val="0"/>
          <w:sz w:val="20"/>
          <w:szCs w:val="20"/>
        </w:rPr>
        <w:t> </w:t>
      </w:r>
    </w:p>
    <w:p w:rsidR="000B754A" w:rsidRPr="000B754A" w:rsidRDefault="000B754A" w:rsidP="000B754A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0B754A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Application of this 1CH Passive HD CVI TVI AHD CVBS Video </w:t>
      </w:r>
      <w:proofErr w:type="spellStart"/>
      <w:r w:rsidRPr="000B754A">
        <w:rPr>
          <w:rFonts w:ascii="&amp;quot" w:eastAsia="宋体" w:hAnsi="&amp;quot" w:cs="宋体"/>
          <w:color w:val="777777"/>
          <w:kern w:val="0"/>
          <w:sz w:val="20"/>
          <w:szCs w:val="20"/>
        </w:rPr>
        <w:t>Balun</w:t>
      </w:r>
      <w:proofErr w:type="spellEnd"/>
      <w:r w:rsidRPr="000B754A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 Transceiver</w:t>
      </w:r>
    </w:p>
    <w:p w:rsidR="000B754A" w:rsidRPr="000B754A" w:rsidRDefault="000B754A" w:rsidP="000B754A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0B754A">
        <w:rPr>
          <w:rFonts w:ascii="&amp;quot" w:eastAsia="宋体" w:hAnsi="&amp;quot" w:cs="宋体" w:hint="eastAsia"/>
          <w:noProof/>
          <w:color w:val="777777"/>
          <w:kern w:val="0"/>
          <w:sz w:val="20"/>
          <w:szCs w:val="20"/>
        </w:rPr>
        <w:drawing>
          <wp:inline distT="0" distB="0" distL="0" distR="0">
            <wp:extent cx="6057900" cy="3616589"/>
            <wp:effectExtent l="0" t="0" r="0" b="3175"/>
            <wp:docPr id="3" name="图片 3" descr="http://q.zvk9.com/25579/2019/07/06/Appli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.zvk9.com/25579/2019/07/06/Applicati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740" cy="362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54A" w:rsidRPr="000B754A" w:rsidRDefault="000B754A" w:rsidP="000B754A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0B754A">
        <w:rPr>
          <w:rFonts w:ascii="&amp;quot" w:eastAsia="宋体" w:hAnsi="&amp;quot" w:cs="宋体"/>
          <w:color w:val="777777"/>
          <w:kern w:val="0"/>
          <w:sz w:val="20"/>
          <w:szCs w:val="20"/>
        </w:rPr>
        <w:t> </w:t>
      </w:r>
    </w:p>
    <w:p w:rsidR="000B754A" w:rsidRPr="000B754A" w:rsidRDefault="000B754A" w:rsidP="000B754A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0B754A">
        <w:rPr>
          <w:rFonts w:ascii="&amp;quot" w:eastAsia="宋体" w:hAnsi="&amp;quot" w:cs="宋体"/>
          <w:color w:val="777777"/>
          <w:kern w:val="0"/>
          <w:sz w:val="20"/>
          <w:szCs w:val="20"/>
        </w:rPr>
        <w:t> </w:t>
      </w:r>
    </w:p>
    <w:p w:rsidR="000B754A" w:rsidRPr="000B754A" w:rsidRDefault="000B754A" w:rsidP="000B754A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0B754A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Pictures of this 1CH Passive HD CVI TVI AHD CVBS Video </w:t>
      </w:r>
      <w:proofErr w:type="spellStart"/>
      <w:r w:rsidRPr="000B754A">
        <w:rPr>
          <w:rFonts w:ascii="&amp;quot" w:eastAsia="宋体" w:hAnsi="&amp;quot" w:cs="宋体"/>
          <w:color w:val="777777"/>
          <w:kern w:val="0"/>
          <w:sz w:val="20"/>
          <w:szCs w:val="20"/>
        </w:rPr>
        <w:t>Balun</w:t>
      </w:r>
      <w:proofErr w:type="spellEnd"/>
      <w:r w:rsidRPr="000B754A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 Transceiver</w:t>
      </w:r>
    </w:p>
    <w:p w:rsidR="000B754A" w:rsidRPr="000B754A" w:rsidRDefault="000B754A" w:rsidP="000B754A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0B754A">
        <w:rPr>
          <w:rFonts w:ascii="&amp;quot" w:eastAsia="宋体" w:hAnsi="&amp;quot" w:cs="宋体"/>
          <w:color w:val="777777"/>
          <w:kern w:val="0"/>
          <w:sz w:val="20"/>
          <w:szCs w:val="20"/>
        </w:rPr>
        <w:t> </w:t>
      </w:r>
    </w:p>
    <w:p w:rsidR="000B754A" w:rsidRPr="000B754A" w:rsidRDefault="000B754A" w:rsidP="000B754A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0B754A">
        <w:rPr>
          <w:rFonts w:ascii="&amp;quot" w:eastAsia="宋体" w:hAnsi="&amp;quot" w:cs="宋体" w:hint="eastAsia"/>
          <w:noProof/>
          <w:color w:val="777777"/>
          <w:kern w:val="0"/>
          <w:sz w:val="20"/>
          <w:szCs w:val="20"/>
        </w:rPr>
        <w:lastRenderedPageBreak/>
        <w:drawing>
          <wp:inline distT="0" distB="0" distL="0" distR="0">
            <wp:extent cx="3267075" cy="3267075"/>
            <wp:effectExtent l="0" t="0" r="9525" b="9525"/>
            <wp:docPr id="2" name="图片 2" descr="http://q.zvk9.com/25579/2019/07/06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.zvk9.com/25579/2019/07/06/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54A" w:rsidRPr="000B754A" w:rsidRDefault="000B754A" w:rsidP="000B754A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0B754A">
        <w:rPr>
          <w:rFonts w:ascii="&amp;quot" w:eastAsia="宋体" w:hAnsi="&amp;quot" w:cs="宋体"/>
          <w:color w:val="777777"/>
          <w:kern w:val="0"/>
          <w:sz w:val="20"/>
          <w:szCs w:val="20"/>
        </w:rPr>
        <w:t> </w:t>
      </w:r>
    </w:p>
    <w:p w:rsidR="000B754A" w:rsidRPr="000B754A" w:rsidRDefault="000B754A" w:rsidP="000B754A">
      <w:pPr>
        <w:widowControl/>
        <w:spacing w:after="150"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0B754A">
        <w:rPr>
          <w:rFonts w:ascii="&amp;quot" w:eastAsia="宋体" w:hAnsi="&amp;quot" w:cs="宋体"/>
          <w:color w:val="777777"/>
          <w:kern w:val="0"/>
          <w:sz w:val="20"/>
          <w:szCs w:val="20"/>
        </w:rPr>
        <w:t> </w:t>
      </w:r>
    </w:p>
    <w:p w:rsidR="000B754A" w:rsidRPr="000B754A" w:rsidRDefault="000B754A" w:rsidP="000B754A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0B754A">
        <w:rPr>
          <w:rFonts w:ascii="&amp;quot" w:eastAsia="宋体" w:hAnsi="&amp;quot" w:cs="宋体" w:hint="eastAsia"/>
          <w:noProof/>
          <w:color w:val="777777"/>
          <w:kern w:val="0"/>
          <w:sz w:val="20"/>
          <w:szCs w:val="20"/>
        </w:rPr>
        <w:drawing>
          <wp:inline distT="0" distB="0" distL="0" distR="0">
            <wp:extent cx="4591050" cy="4591050"/>
            <wp:effectExtent l="0" t="0" r="0" b="0"/>
            <wp:docPr id="1" name="图片 1" descr="http://q.zvk9.com/25579/2019/07/06/4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.zvk9.com/25579/2019/07/06/48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54A" w:rsidRPr="000B754A" w:rsidRDefault="000B754A" w:rsidP="000B754A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0B754A">
        <w:rPr>
          <w:rFonts w:ascii="&amp;quot" w:eastAsia="宋体" w:hAnsi="&amp;quot" w:cs="宋体"/>
          <w:color w:val="777777"/>
          <w:kern w:val="0"/>
          <w:sz w:val="20"/>
          <w:szCs w:val="20"/>
        </w:rPr>
        <w:t> </w:t>
      </w:r>
    </w:p>
    <w:p w:rsidR="000B754A" w:rsidRPr="000B754A" w:rsidRDefault="000B754A" w:rsidP="000B754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79" w:lineRule="atLeast"/>
        <w:jc w:val="left"/>
        <w:rPr>
          <w:rFonts w:ascii="&amp;quot" w:eastAsia="宋体" w:hAnsi="&amp;quot" w:cs="宋体"/>
          <w:color w:val="333333"/>
          <w:kern w:val="0"/>
          <w:sz w:val="20"/>
          <w:szCs w:val="20"/>
        </w:rPr>
      </w:pPr>
    </w:p>
    <w:p w:rsidR="00B00A6E" w:rsidRDefault="00B00A6E"/>
    <w:sectPr w:rsidR="00B00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2F"/>
    <w:rsid w:val="000B754A"/>
    <w:rsid w:val="00B00A6E"/>
    <w:rsid w:val="00B2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EAF80"/>
  <w15:chartTrackingRefBased/>
  <w15:docId w15:val="{AA0F69D8-1F09-4420-88AD-10BF50FD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B754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54A"/>
    <w:rPr>
      <w:rFonts w:ascii="宋体" w:eastAsia="宋体" w:hAnsi="宋体" w:cs="宋体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0B75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0B754A"/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0B754A"/>
    <w:rPr>
      <w:b/>
      <w:bCs/>
    </w:rPr>
  </w:style>
  <w:style w:type="character" w:customStyle="1" w:styleId="content-product-name">
    <w:name w:val="content-product-name"/>
    <w:basedOn w:val="a0"/>
    <w:rsid w:val="000B754A"/>
  </w:style>
  <w:style w:type="paragraph" w:styleId="a4">
    <w:name w:val="Normal (Web)"/>
    <w:basedOn w:val="a"/>
    <w:uiPriority w:val="99"/>
    <w:semiHidden/>
    <w:unhideWhenUsed/>
    <w:rsid w:val="000B75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2">
    <w:name w:val="font2"/>
    <w:basedOn w:val="a0"/>
    <w:rsid w:val="000B754A"/>
  </w:style>
  <w:style w:type="character" w:customStyle="1" w:styleId="font4">
    <w:name w:val="font4"/>
    <w:basedOn w:val="a0"/>
    <w:rsid w:val="000B7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3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linda</dc:creator>
  <cp:keywords/>
  <dc:description/>
  <cp:lastModifiedBy>liu linda</cp:lastModifiedBy>
  <cp:revision>2</cp:revision>
  <dcterms:created xsi:type="dcterms:W3CDTF">2019-10-25T04:56:00Z</dcterms:created>
  <dcterms:modified xsi:type="dcterms:W3CDTF">2019-10-25T04:56:00Z</dcterms:modified>
</cp:coreProperties>
</file>